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485BEB21"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186D99">
        <w:rPr>
          <w:rFonts w:ascii="Arial" w:eastAsia="바탕" w:hAnsi="Arial" w:cs="Arial"/>
          <w:b/>
          <w:bCs/>
          <w:snapToGrid w:val="0"/>
          <w:kern w:val="2"/>
          <w:sz w:val="24"/>
          <w:szCs w:val="24"/>
          <w:lang w:val="en-GB" w:eastAsia="ko-KR"/>
        </w:rPr>
        <w:t>0788</w:t>
      </w:r>
    </w:p>
    <w:p w14:paraId="75DA9A13" w14:textId="0E7FE635" w:rsidR="00A36547" w:rsidRPr="00BB21C5" w:rsidRDefault="003117C8"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117C8">
        <w:rPr>
          <w:rFonts w:ascii="Arial" w:eastAsia="바탕" w:hAnsi="Arial" w:cs="Arial"/>
          <w:b/>
          <w:bCs/>
          <w:snapToGrid w:val="0"/>
          <w:kern w:val="2"/>
          <w:sz w:val="24"/>
          <w:szCs w:val="24"/>
          <w:lang w:val="en-GB" w:eastAsia="ko-KR"/>
        </w:rPr>
        <w:t>Athens, Greece, February 26</w:t>
      </w:r>
      <w:r w:rsidRPr="003117C8">
        <w:rPr>
          <w:rFonts w:ascii="Arial" w:eastAsia="바탕" w:hAnsi="Arial" w:cs="Arial"/>
          <w:b/>
          <w:bCs/>
          <w:snapToGrid w:val="0"/>
          <w:kern w:val="2"/>
          <w:sz w:val="24"/>
          <w:szCs w:val="24"/>
          <w:vertAlign w:val="superscript"/>
          <w:lang w:val="en-GB" w:eastAsia="ko-KR"/>
        </w:rPr>
        <w:t>th</w:t>
      </w:r>
      <w:r w:rsidRPr="003117C8">
        <w:rPr>
          <w:rFonts w:ascii="Arial" w:eastAsia="바탕" w:hAnsi="Arial" w:cs="Arial"/>
          <w:b/>
          <w:bCs/>
          <w:snapToGrid w:val="0"/>
          <w:kern w:val="2"/>
          <w:sz w:val="24"/>
          <w:szCs w:val="24"/>
          <w:lang w:val="en-GB" w:eastAsia="ko-KR"/>
        </w:rPr>
        <w:t xml:space="preserve"> – March 1</w:t>
      </w:r>
      <w:r w:rsidRPr="003117C8">
        <w:rPr>
          <w:rFonts w:ascii="Arial" w:eastAsia="바탕" w:hAnsi="Arial" w:cs="Arial"/>
          <w:b/>
          <w:bCs/>
          <w:snapToGrid w:val="0"/>
          <w:kern w:val="2"/>
          <w:sz w:val="24"/>
          <w:szCs w:val="24"/>
          <w:vertAlign w:val="superscript"/>
          <w:lang w:val="en-GB" w:eastAsia="ko-KR"/>
        </w:rPr>
        <w:t>st</w:t>
      </w:r>
      <w:r w:rsidRPr="003117C8">
        <w:rPr>
          <w:rFonts w:ascii="Arial" w:eastAsia="바탕" w:hAnsi="Arial" w:cs="Arial"/>
          <w:b/>
          <w:bCs/>
          <w:snapToGrid w:val="0"/>
          <w:kern w:val="2"/>
          <w:sz w:val="24"/>
          <w:szCs w:val="24"/>
          <w:lang w:val="en-GB" w:eastAsia="ko-KR"/>
        </w:rPr>
        <w:t>, 2024</w:t>
      </w:r>
    </w:p>
    <w:p w14:paraId="5E55BCF1" w14:textId="325F0AE5"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921B8C">
        <w:rPr>
          <w:rFonts w:ascii="Arial" w:hAnsi="Arial"/>
          <w:sz w:val="24"/>
        </w:rPr>
        <w:t>2</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7BBAF9" w14:textId="17963E7E" w:rsidR="00921B8C" w:rsidRPr="001059FA" w:rsidRDefault="00A36547" w:rsidP="002C56D7">
      <w:pPr>
        <w:tabs>
          <w:tab w:val="left" w:pos="1985"/>
        </w:tabs>
        <w:spacing w:before="0" w:after="0" w:line="360" w:lineRule="exact"/>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sidRPr="00402CEA">
        <w:rPr>
          <w:rFonts w:ascii="Arial" w:eastAsia="바탕" w:hAnsi="Arial"/>
          <w:sz w:val="24"/>
          <w:lang w:eastAsia="ko-KR"/>
        </w:rPr>
        <w:t xml:space="preserve">Discussion on </w:t>
      </w:r>
      <w:r w:rsidR="00921B8C" w:rsidRPr="00402CEA">
        <w:rPr>
          <w:rFonts w:ascii="Arial" w:eastAsia="바탕" w:hAnsi="Arial"/>
          <w:sz w:val="24"/>
          <w:lang w:eastAsia="ko-KR"/>
        </w:rPr>
        <w:t xml:space="preserve">support of </w:t>
      </w:r>
      <w:r w:rsidR="002E7174" w:rsidRPr="00402CEA">
        <w:rPr>
          <w:rFonts w:ascii="Arial" w:eastAsia="바탕" w:hAnsi="Arial"/>
          <w:sz w:val="24"/>
          <w:lang w:eastAsia="ko-KR"/>
        </w:rPr>
        <w:t>(</w:t>
      </w:r>
      <w:r w:rsidR="00921B8C" w:rsidRPr="00402CEA">
        <w:rPr>
          <w:rFonts w:ascii="Arial" w:eastAsia="바탕" w:hAnsi="Arial"/>
          <w:sz w:val="24"/>
          <w:lang w:eastAsia="ko-KR"/>
        </w:rPr>
        <w:t>e</w:t>
      </w:r>
      <w:r w:rsidR="002E7174" w:rsidRPr="00402CEA">
        <w:rPr>
          <w:rFonts w:ascii="Arial" w:eastAsia="바탕" w:hAnsi="Arial"/>
          <w:sz w:val="24"/>
          <w:lang w:eastAsia="ko-KR"/>
        </w:rPr>
        <w:t>)</w:t>
      </w:r>
      <w:r w:rsidR="00921B8C" w:rsidRPr="00402CEA">
        <w:rPr>
          <w:rFonts w:ascii="Arial" w:eastAsia="바탕" w:hAnsi="Arial"/>
          <w:sz w:val="24"/>
          <w:lang w:eastAsia="ko-KR"/>
        </w:rPr>
        <w:t xml:space="preserve">RedCap UEs with </w:t>
      </w:r>
      <w:r w:rsidR="002E7174" w:rsidRPr="00402CEA">
        <w:rPr>
          <w:rFonts w:ascii="Arial" w:eastAsia="바탕" w:hAnsi="Arial"/>
          <w:sz w:val="24"/>
          <w:lang w:eastAsia="ko-KR"/>
        </w:rPr>
        <w:t xml:space="preserve">NR-NTN operating in </w:t>
      </w:r>
      <w:r w:rsidR="00921B8C" w:rsidRPr="00402CEA">
        <w:rPr>
          <w:rFonts w:ascii="Arial" w:eastAsia="바탕" w:hAnsi="Arial"/>
          <w:sz w:val="24"/>
          <w:lang w:eastAsia="ko-KR"/>
        </w:rPr>
        <w:t>FR1-NTN</w:t>
      </w:r>
      <w:r w:rsidR="002E7174" w:rsidRPr="00402CEA">
        <w:rPr>
          <w:rFonts w:ascii="Arial" w:eastAsia="바탕" w:hAnsi="Arial"/>
          <w:sz w:val="24"/>
          <w:lang w:eastAsia="ko-KR"/>
        </w:rPr>
        <w:t xml:space="preserve"> bands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w:t>
      </w:r>
      <w:bookmarkStart w:id="3" w:name="_GoBack"/>
      <w:bookmarkEnd w:id="3"/>
      <w:r w:rsidRPr="000923CD">
        <w:rPr>
          <w:rFonts w:ascii="Arial" w:eastAsia="바탕" w:hAnsi="Arial" w:hint="eastAsia"/>
          <w:sz w:val="24"/>
          <w:lang w:eastAsia="ko-KR"/>
        </w:rPr>
        <w:t>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3147E22A" w14:textId="1DA02782" w:rsidR="00A16063" w:rsidRDefault="00A16063" w:rsidP="006521BC">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WID for NR NTN [1], RAN1 needs to check whether any essential changes for half-duplex collision rules are needed for the support of Rel-17 RedCap and Rel-18 eRedCap UEs with NR NTN operating in FR1-NTN bands. </w:t>
      </w:r>
    </w:p>
    <w:tbl>
      <w:tblPr>
        <w:tblStyle w:val="a6"/>
        <w:tblW w:w="0" w:type="auto"/>
        <w:tblLook w:val="04A0" w:firstRow="1" w:lastRow="0" w:firstColumn="1" w:lastColumn="0" w:noHBand="0" w:noVBand="1"/>
      </w:tblPr>
      <w:tblGrid>
        <w:gridCol w:w="9628"/>
      </w:tblGrid>
      <w:tr w:rsidR="00A16063" w14:paraId="5FF69618" w14:textId="77777777" w:rsidTr="00A16063">
        <w:tc>
          <w:tcPr>
            <w:tcW w:w="9628" w:type="dxa"/>
          </w:tcPr>
          <w:p w14:paraId="5E4D47BD" w14:textId="77777777" w:rsidR="00A16063" w:rsidRPr="00A16063" w:rsidRDefault="00A16063" w:rsidP="00A16063">
            <w:pPr>
              <w:numPr>
                <w:ilvl w:val="0"/>
                <w:numId w:val="22"/>
              </w:numPr>
              <w:overflowPunct w:val="0"/>
              <w:autoSpaceDE w:val="0"/>
              <w:autoSpaceDN w:val="0"/>
              <w:adjustRightInd w:val="0"/>
              <w:spacing w:before="0" w:after="0" w:line="276" w:lineRule="auto"/>
              <w:jc w:val="left"/>
              <w:textAlignment w:val="baseline"/>
              <w:rPr>
                <w:rFonts w:eastAsia="맑은 고딕"/>
                <w:lang w:eastAsia="ko-KR"/>
              </w:rPr>
            </w:pPr>
            <w:r w:rsidRPr="00A16063">
              <w:rPr>
                <w:rFonts w:eastAsia="맑은 고딕"/>
                <w:lang w:eastAsia="ko-KR"/>
              </w:rPr>
              <w:t>Support of Rel-17 RedCap and Rel-18 eRedCap UEs with NR NTN operating in FR1-NTN bands [RAN4, RAN1]</w:t>
            </w:r>
          </w:p>
          <w:p w14:paraId="55C615C5" w14:textId="77777777" w:rsidR="00A16063" w:rsidRPr="00A16063" w:rsidRDefault="00A16063" w:rsidP="00A16063">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zh-CN"/>
              </w:rPr>
            </w:pPr>
            <w:r w:rsidRPr="00A16063">
              <w:rPr>
                <w:rFonts w:eastAsia="Calibri"/>
                <w:lang w:eastAsia="zh-CN"/>
              </w:rPr>
              <w:t>For full-duplex FDD RedCap and eRedCap UEs, define the RF and RRM requirements [RAN4]</w:t>
            </w:r>
          </w:p>
          <w:p w14:paraId="2B3E06ED" w14:textId="77777777" w:rsidR="00A16063" w:rsidRPr="00A16063" w:rsidRDefault="00A16063" w:rsidP="00A16063">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zh-CN"/>
              </w:rPr>
            </w:pPr>
            <w:r w:rsidRPr="00A16063">
              <w:rPr>
                <w:rFonts w:eastAsia="Calibri"/>
                <w:lang w:eastAsia="zh-CN"/>
              </w:rPr>
              <w:t>For HD-FDD RedCap UEs and eRedCap UEs, check whether any essential changes are needed for their support (i.e. focusing on HD collision rules) by end of Q2/2024 [RAN1]</w:t>
            </w:r>
          </w:p>
          <w:p w14:paraId="059C7C35" w14:textId="77777777" w:rsidR="00A16063" w:rsidRPr="00A16063" w:rsidRDefault="00A16063" w:rsidP="00A16063">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zh-CN"/>
              </w:rPr>
            </w:pPr>
            <w:r w:rsidRPr="00A16063">
              <w:rPr>
                <w:rFonts w:eastAsia="Calibri"/>
                <w:lang w:eastAsia="zh-CN"/>
              </w:rPr>
              <w:t>Depending on feasibility assessment above, define the RF and RRM requirements [RAN4]</w:t>
            </w:r>
          </w:p>
          <w:p w14:paraId="5F55A304" w14:textId="77777777" w:rsidR="00A16063" w:rsidRPr="00A16063" w:rsidRDefault="00A16063" w:rsidP="00A16063">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zh-CN"/>
              </w:rPr>
            </w:pPr>
            <w:r w:rsidRPr="00A16063">
              <w:rPr>
                <w:rFonts w:eastAsia="Calibri"/>
                <w:lang w:eastAsia="zh-CN"/>
              </w:rPr>
              <w:t>Notes for this objective:</w:t>
            </w:r>
          </w:p>
          <w:p w14:paraId="45DD9053" w14:textId="21752074" w:rsidR="00A16063" w:rsidRPr="00A16063" w:rsidRDefault="00A16063" w:rsidP="00A16063">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zh-CN"/>
              </w:rPr>
            </w:pPr>
            <w:r w:rsidRPr="00A16063">
              <w:rPr>
                <w:rFonts w:eastAsia="Calibri"/>
                <w:lang w:eastAsia="zh-CN"/>
              </w:rPr>
              <w:t>GNSS (Global Navigation Satellite Systems) capabilities and simultaneous GNSS and NR-NTN operation is supported in RedCap/eRedCap UE.</w:t>
            </w:r>
          </w:p>
        </w:tc>
      </w:tr>
    </w:tbl>
    <w:p w14:paraId="350D1A6C" w14:textId="61730D33" w:rsidR="00A36547" w:rsidRPr="007B1C61" w:rsidRDefault="00A36547" w:rsidP="00A16063">
      <w:pPr>
        <w:ind w:left="0" w:firstLineChars="250" w:firstLine="55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discuss</w:t>
      </w:r>
      <w:r w:rsidR="00A16063">
        <w:rPr>
          <w:rFonts w:eastAsiaTheme="minorEastAsia"/>
          <w:sz w:val="22"/>
          <w:lang w:eastAsia="ko-KR"/>
        </w:rPr>
        <w:t xml:space="preserve"> whether or how to change half-duplex collision rules to support Rel-17 RedCap and Rel-18 eRedCap UEs with NR NTN in FR1</w:t>
      </w:r>
      <w:r w:rsidR="00530711" w:rsidRPr="007B1C61">
        <w:rPr>
          <w:rFonts w:eastAsiaTheme="minorEastAsia"/>
          <w:sz w:val="22"/>
          <w:lang w:eastAsia="ko-KR"/>
        </w:rPr>
        <w:t xml:space="preserve">. </w:t>
      </w:r>
    </w:p>
    <w:p w14:paraId="52BB7681" w14:textId="77777777" w:rsidR="008654D8" w:rsidRPr="00A57D81" w:rsidRDefault="008654D8"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5514736B" w14:textId="1FF7B5F8" w:rsidR="00F34E9F" w:rsidRDefault="009F7F86" w:rsidP="00DE503B">
      <w:pPr>
        <w:ind w:left="0" w:firstLine="0"/>
        <w:rPr>
          <w:rFonts w:eastAsiaTheme="minorEastAsia"/>
          <w:sz w:val="22"/>
          <w:szCs w:val="22"/>
          <w:lang w:eastAsia="ko-KR"/>
        </w:rPr>
      </w:pPr>
      <w:r w:rsidRPr="009F7F86">
        <w:rPr>
          <w:rFonts w:eastAsiaTheme="minorEastAsia" w:hint="eastAsia"/>
          <w:sz w:val="22"/>
          <w:szCs w:val="22"/>
          <w:lang w:eastAsia="ko-KR"/>
        </w:rPr>
        <w:t>A</w:t>
      </w:r>
      <w:r w:rsidRPr="009F7F86">
        <w:rPr>
          <w:rFonts w:eastAsiaTheme="minorEastAsia"/>
          <w:sz w:val="22"/>
          <w:szCs w:val="22"/>
          <w:lang w:eastAsia="ko-KR"/>
        </w:rPr>
        <w:t xml:space="preserve">ccording to </w:t>
      </w:r>
      <w:r>
        <w:rPr>
          <w:rFonts w:eastAsiaTheme="minorEastAsia"/>
          <w:sz w:val="22"/>
          <w:szCs w:val="22"/>
          <w:lang w:eastAsia="ko-KR"/>
        </w:rPr>
        <w:t xml:space="preserve">the existing HD resource collision rule specified in TS 38.213 [2], a HD-UE </w:t>
      </w:r>
      <w:r w:rsidR="006D4EC0">
        <w:rPr>
          <w:rFonts w:eastAsiaTheme="minorEastAsia"/>
          <w:sz w:val="22"/>
          <w:szCs w:val="22"/>
          <w:lang w:eastAsia="ko-KR"/>
        </w:rPr>
        <w:t>checks whether</w:t>
      </w:r>
      <w:r>
        <w:rPr>
          <w:rFonts w:eastAsiaTheme="minorEastAsia"/>
          <w:sz w:val="22"/>
          <w:szCs w:val="22"/>
          <w:lang w:eastAsia="ko-KR"/>
        </w:rPr>
        <w:t xml:space="preserve"> a TTI for DL reception </w:t>
      </w:r>
      <w:r w:rsidR="006D4EC0">
        <w:rPr>
          <w:rFonts w:eastAsiaTheme="minorEastAsia"/>
          <w:sz w:val="22"/>
          <w:szCs w:val="22"/>
          <w:lang w:eastAsia="ko-KR"/>
        </w:rPr>
        <w:t>is overlapping with a</w:t>
      </w:r>
      <w:r>
        <w:rPr>
          <w:rFonts w:eastAsiaTheme="minorEastAsia"/>
          <w:sz w:val="22"/>
          <w:szCs w:val="22"/>
          <w:lang w:eastAsia="ko-KR"/>
        </w:rPr>
        <w:t xml:space="preserve"> TTI for UL transmission. Considering half-duplex restriction, the UE may not perform both DL reception and UL transmission simultaneously when the TTIs are partially or fully overlapping in time at the UE side. Moreover, considering that the UE applies the timing advance for UL transmission, the DL symbols would not be aligned with the UL symbols in boundary. In those points of views, the existing HD resource collision rule</w:t>
      </w:r>
      <w:r w:rsidR="00A60432">
        <w:rPr>
          <w:rFonts w:eastAsiaTheme="minorEastAsia"/>
          <w:sz w:val="22"/>
          <w:szCs w:val="22"/>
          <w:lang w:eastAsia="ko-KR"/>
        </w:rPr>
        <w:t xml:space="preserve"> itself</w:t>
      </w:r>
      <w:r>
        <w:rPr>
          <w:rFonts w:eastAsiaTheme="minorEastAsia"/>
          <w:sz w:val="22"/>
          <w:szCs w:val="22"/>
          <w:lang w:eastAsia="ko-KR"/>
        </w:rPr>
        <w:t xml:space="preserve"> can work properly even for the NTN operation since the UE can decide whether the TTI for DL reception and the TTI for UL transmission are overlapping in time or not. </w:t>
      </w:r>
    </w:p>
    <w:p w14:paraId="619EBC43" w14:textId="461ABC56" w:rsidR="00F1394A" w:rsidRPr="00F1394A" w:rsidRDefault="00F1394A" w:rsidP="00DE503B">
      <w:pPr>
        <w:ind w:left="0" w:firstLine="0"/>
        <w:rPr>
          <w:rFonts w:eastAsiaTheme="minorEastAsia"/>
          <w:b/>
          <w:bCs/>
          <w:i/>
          <w:iCs/>
          <w:sz w:val="22"/>
          <w:szCs w:val="22"/>
          <w:lang w:eastAsia="ko-KR"/>
        </w:rPr>
      </w:pPr>
      <w:r w:rsidRPr="00F1394A">
        <w:rPr>
          <w:rFonts w:eastAsiaTheme="minorEastAsia" w:hint="eastAsia"/>
          <w:b/>
          <w:bCs/>
          <w:i/>
          <w:iCs/>
          <w:sz w:val="22"/>
          <w:szCs w:val="22"/>
          <w:lang w:eastAsia="ko-KR"/>
        </w:rPr>
        <w:lastRenderedPageBreak/>
        <w:t>O</w:t>
      </w:r>
      <w:r w:rsidRPr="00F1394A">
        <w:rPr>
          <w:rFonts w:eastAsiaTheme="minorEastAsia"/>
          <w:b/>
          <w:bCs/>
          <w:i/>
          <w:iCs/>
          <w:sz w:val="22"/>
          <w:szCs w:val="22"/>
          <w:lang w:eastAsia="ko-KR"/>
        </w:rPr>
        <w:t xml:space="preserve">bservation 1: </w:t>
      </w:r>
      <w:r>
        <w:rPr>
          <w:rFonts w:eastAsiaTheme="minorEastAsia"/>
          <w:b/>
          <w:bCs/>
          <w:i/>
          <w:iCs/>
          <w:sz w:val="22"/>
          <w:szCs w:val="22"/>
          <w:lang w:eastAsia="ko-KR"/>
        </w:rPr>
        <w:t xml:space="preserve">The existing HD resource collision rule can work properly even for the NTN operation since the UE can decide whether TTI for DL reception and TTI for UL transmission are overlapping in time or not. </w:t>
      </w:r>
    </w:p>
    <w:p w14:paraId="669B4E78" w14:textId="77777777" w:rsidR="005E0AF4" w:rsidRDefault="00177E53" w:rsidP="009F7F86">
      <w:pPr>
        <w:ind w:left="0" w:firstLineChars="250" w:firstLine="550"/>
        <w:rPr>
          <w:rFonts w:eastAsiaTheme="minorEastAsia"/>
          <w:sz w:val="22"/>
          <w:szCs w:val="22"/>
          <w:lang w:eastAsia="ko-KR"/>
        </w:rPr>
      </w:pPr>
      <w:r>
        <w:rPr>
          <w:rFonts w:eastAsiaTheme="minorEastAsia"/>
          <w:sz w:val="22"/>
          <w:szCs w:val="22"/>
          <w:lang w:eastAsia="ko-KR"/>
        </w:rPr>
        <w:t>Next</w:t>
      </w:r>
      <w:r w:rsidR="009F7F86">
        <w:rPr>
          <w:rFonts w:eastAsiaTheme="minorEastAsia"/>
          <w:sz w:val="22"/>
          <w:szCs w:val="22"/>
          <w:lang w:eastAsia="ko-KR"/>
        </w:rPr>
        <w:t xml:space="preserve">, </w:t>
      </w:r>
      <w:r w:rsidR="00A60432">
        <w:rPr>
          <w:rFonts w:eastAsiaTheme="minorEastAsia"/>
          <w:sz w:val="22"/>
          <w:szCs w:val="22"/>
          <w:lang w:eastAsia="ko-KR"/>
        </w:rPr>
        <w:t xml:space="preserve">in NTN operation, the UE can pre-compensate the timing advance </w:t>
      </w:r>
      <w:r w:rsidR="00A73E7D">
        <w:rPr>
          <w:rFonts w:eastAsiaTheme="minorEastAsia"/>
          <w:sz w:val="22"/>
          <w:szCs w:val="22"/>
          <w:lang w:eastAsia="ko-KR"/>
        </w:rPr>
        <w:t>based on UE position and serving-satellite location provided by the ephemeris information. In NTN operation, the UE can report UE’s timing advance value to the gNB. Based on the TA report, the gNB can choose the proper value</w:t>
      </w:r>
      <w:r w:rsidR="000B0D52">
        <w:rPr>
          <w:rFonts w:eastAsiaTheme="minorEastAsia"/>
          <w:sz w:val="22"/>
          <w:szCs w:val="22"/>
          <w:lang w:eastAsia="ko-KR"/>
        </w:rPr>
        <w:t>s</w:t>
      </w:r>
      <w:r w:rsidR="00A73E7D">
        <w:rPr>
          <w:rFonts w:eastAsiaTheme="minorEastAsia"/>
          <w:sz w:val="22"/>
          <w:szCs w:val="22"/>
          <w:lang w:eastAsia="ko-KR"/>
        </w:rPr>
        <w:t xml:space="preserve"> of the slot offsets, denoted by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cell,offset</m:t>
            </m:r>
          </m:sub>
        </m:sSub>
      </m:oMath>
      <w:r w:rsidR="000B0D52">
        <w:rPr>
          <w:rFonts w:eastAsiaTheme="minorEastAsia"/>
          <w:sz w:val="22"/>
          <w:szCs w:val="22"/>
          <w:lang w:eastAsia="ko-KR"/>
        </w:rPr>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UE,offset</m:t>
            </m:r>
          </m:sub>
        </m:sSub>
      </m:oMath>
      <w:r w:rsidR="000B0D52">
        <w:rPr>
          <w:rFonts w:eastAsiaTheme="minorEastAsia"/>
          <w:sz w:val="22"/>
          <w:szCs w:val="22"/>
          <w:lang w:eastAsia="ko-KR"/>
        </w:rPr>
        <w:t xml:space="preserve">, 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k</m:t>
            </m:r>
          </m:e>
          <m:sub>
            <m:r>
              <w:rPr>
                <w:rFonts w:ascii="Cambria Math" w:eastAsiaTheme="minorEastAsia" w:hAnsi="Cambria Math"/>
                <w:sz w:val="22"/>
                <w:szCs w:val="22"/>
                <w:lang w:eastAsia="ko-KR"/>
              </w:rPr>
              <m:t>mac</m:t>
            </m:r>
          </m:sub>
        </m:sSub>
      </m:oMath>
      <w:r w:rsidR="000B0D52">
        <w:rPr>
          <w:rFonts w:eastAsiaTheme="minorEastAsia"/>
          <w:sz w:val="22"/>
          <w:szCs w:val="22"/>
          <w:lang w:eastAsia="ko-KR"/>
        </w:rPr>
        <w:t xml:space="preserve">. </w:t>
      </w:r>
      <w:r>
        <w:rPr>
          <w:rFonts w:eastAsiaTheme="minorEastAsia"/>
          <w:sz w:val="22"/>
          <w:szCs w:val="22"/>
          <w:lang w:eastAsia="ko-KR"/>
        </w:rPr>
        <w:t xml:space="preserve">Meanwhile, </w:t>
      </w:r>
      <w:r w:rsidR="00E739F7">
        <w:rPr>
          <w:rFonts w:eastAsiaTheme="minorEastAsia"/>
          <w:sz w:val="22"/>
          <w:szCs w:val="22"/>
          <w:lang w:eastAsia="ko-KR"/>
        </w:rPr>
        <w:t>according to TS 38.321</w:t>
      </w:r>
      <w:r w:rsidR="0085575C">
        <w:rPr>
          <w:rFonts w:eastAsiaTheme="minorEastAsia"/>
          <w:sz w:val="22"/>
          <w:szCs w:val="22"/>
          <w:lang w:eastAsia="ko-KR"/>
        </w:rPr>
        <w:t xml:space="preserve"> [3]</w:t>
      </w:r>
      <w:r w:rsidR="00E739F7">
        <w:rPr>
          <w:rFonts w:eastAsiaTheme="minorEastAsia"/>
          <w:sz w:val="22"/>
          <w:szCs w:val="22"/>
          <w:lang w:eastAsia="ko-KR"/>
        </w:rPr>
        <w:t xml:space="preserve">, the granularity of the TA report is </w:t>
      </w:r>
      <w:r w:rsidR="008905BB">
        <w:rPr>
          <w:rFonts w:eastAsiaTheme="minorEastAsia"/>
          <w:sz w:val="22"/>
          <w:szCs w:val="22"/>
          <w:lang w:eastAsia="ko-KR"/>
        </w:rPr>
        <w:t>1msec</w:t>
      </w:r>
      <w:r w:rsidR="00E739F7">
        <w:rPr>
          <w:rFonts w:eastAsiaTheme="minorEastAsia"/>
          <w:sz w:val="22"/>
          <w:szCs w:val="22"/>
          <w:lang w:eastAsia="ko-KR"/>
        </w:rPr>
        <w:t xml:space="preserve"> for NTN. In this case, </w:t>
      </w:r>
      <w:r w:rsidR="00A46DC8">
        <w:rPr>
          <w:rFonts w:eastAsiaTheme="minorEastAsia"/>
          <w:sz w:val="22"/>
          <w:szCs w:val="22"/>
          <w:lang w:eastAsia="ko-KR"/>
        </w:rPr>
        <w:t xml:space="preserve">due to the lack of the granularity for </w:t>
      </w:r>
      <w:r w:rsidR="00795163">
        <w:rPr>
          <w:rFonts w:eastAsiaTheme="minorEastAsia"/>
          <w:sz w:val="22"/>
          <w:szCs w:val="22"/>
          <w:lang w:eastAsia="ko-KR"/>
        </w:rPr>
        <w:t xml:space="preserve">the </w:t>
      </w:r>
      <w:r w:rsidR="00A46DC8">
        <w:rPr>
          <w:rFonts w:eastAsiaTheme="minorEastAsia"/>
          <w:sz w:val="22"/>
          <w:szCs w:val="22"/>
          <w:lang w:eastAsia="ko-KR"/>
        </w:rPr>
        <w:t>TA report, the TA value at the UE side could be differ</w:t>
      </w:r>
      <w:r w:rsidR="00076132">
        <w:rPr>
          <w:rFonts w:eastAsiaTheme="minorEastAsia"/>
          <w:sz w:val="22"/>
          <w:szCs w:val="22"/>
          <w:lang w:eastAsia="ko-KR"/>
        </w:rPr>
        <w:t>ent</w:t>
      </w:r>
      <w:r w:rsidR="00A46DC8">
        <w:rPr>
          <w:rFonts w:eastAsiaTheme="minorEastAsia"/>
          <w:sz w:val="22"/>
          <w:szCs w:val="22"/>
          <w:lang w:eastAsia="ko-KR"/>
        </w:rPr>
        <w:t xml:space="preserve"> at most 1msec compared to the reported TA value. </w:t>
      </w:r>
    </w:p>
    <w:p w14:paraId="3C155A44" w14:textId="568FD2EA" w:rsidR="009F7F86" w:rsidRPr="009F7F86" w:rsidRDefault="00F1394A" w:rsidP="009F7F86">
      <w:pPr>
        <w:ind w:left="0" w:firstLineChars="250" w:firstLine="550"/>
        <w:rPr>
          <w:rFonts w:eastAsiaTheme="minorEastAsia"/>
          <w:sz w:val="22"/>
          <w:szCs w:val="22"/>
          <w:lang w:eastAsia="ko-KR"/>
        </w:rPr>
      </w:pPr>
      <w:r>
        <w:rPr>
          <w:rFonts w:eastAsiaTheme="minorEastAsia"/>
          <w:sz w:val="22"/>
          <w:szCs w:val="22"/>
          <w:lang w:eastAsia="ko-KR"/>
        </w:rPr>
        <w:t xml:space="preserve">For simplicity, the gNB may need to consider this at most 1msec error to schedule DL and UL so that they are not overlapping in time at the UE side. Alternatively, it can be considered to introduce finer granularity of the TA reports to reduce the error. Another approach would be that it is assumed that the (e)RedCap adjusts the timing advance based on UE position and serving-satellite location in a unit of 1msec. In this case, the required timing adjustment value needs to be handled by the existing timing adjustment procedure based on the TA command. </w:t>
      </w:r>
    </w:p>
    <w:p w14:paraId="2DD89BC5" w14:textId="58B98A53" w:rsidR="00F1394A" w:rsidRPr="00F1394A" w:rsidRDefault="00F1394A" w:rsidP="00F1394A">
      <w:pPr>
        <w:ind w:left="0" w:firstLine="0"/>
        <w:rPr>
          <w:rFonts w:eastAsiaTheme="minorEastAsia"/>
          <w:b/>
          <w:bCs/>
          <w:i/>
          <w:iCs/>
          <w:sz w:val="22"/>
          <w:szCs w:val="22"/>
          <w:lang w:eastAsia="ko-KR"/>
        </w:rPr>
      </w:pPr>
      <w:r w:rsidRPr="00F1394A">
        <w:rPr>
          <w:rFonts w:eastAsiaTheme="minorEastAsia" w:hint="eastAsia"/>
          <w:b/>
          <w:bCs/>
          <w:i/>
          <w:iCs/>
          <w:sz w:val="22"/>
          <w:szCs w:val="22"/>
          <w:lang w:eastAsia="ko-KR"/>
        </w:rPr>
        <w:t>O</w:t>
      </w:r>
      <w:r w:rsidRPr="00F1394A">
        <w:rPr>
          <w:rFonts w:eastAsiaTheme="minorEastAsia"/>
          <w:b/>
          <w:bCs/>
          <w:i/>
          <w:iCs/>
          <w:sz w:val="22"/>
          <w:szCs w:val="22"/>
          <w:lang w:eastAsia="ko-KR"/>
        </w:rPr>
        <w:t xml:space="preserve">bservation </w:t>
      </w:r>
      <w:r>
        <w:rPr>
          <w:rFonts w:eastAsiaTheme="minorEastAsia"/>
          <w:b/>
          <w:bCs/>
          <w:i/>
          <w:iCs/>
          <w:sz w:val="22"/>
          <w:szCs w:val="22"/>
          <w:lang w:eastAsia="ko-KR"/>
        </w:rPr>
        <w:t>2</w:t>
      </w:r>
      <w:r w:rsidRPr="00F1394A">
        <w:rPr>
          <w:rFonts w:eastAsiaTheme="minorEastAsia"/>
          <w:b/>
          <w:bCs/>
          <w:i/>
          <w:iCs/>
          <w:sz w:val="22"/>
          <w:szCs w:val="22"/>
          <w:lang w:eastAsia="ko-KR"/>
        </w:rPr>
        <w:t xml:space="preserve">: </w:t>
      </w:r>
      <w:r>
        <w:rPr>
          <w:rFonts w:eastAsiaTheme="minorEastAsia"/>
          <w:b/>
          <w:bCs/>
          <w:i/>
          <w:iCs/>
          <w:sz w:val="22"/>
          <w:szCs w:val="22"/>
          <w:lang w:eastAsia="ko-KR"/>
        </w:rPr>
        <w:t xml:space="preserve">Without any optimization, the gNB can avoid the time-overlapping between DL reception and UL transmission at UE side considering at most 1msec error between the applied TA and the reported TA due to the lack of the granularity of the TA report. </w:t>
      </w:r>
    </w:p>
    <w:p w14:paraId="0FEC34D2" w14:textId="5804CC4E" w:rsidR="00BF2078" w:rsidRPr="0049104C" w:rsidRDefault="00F1394A" w:rsidP="0049104C">
      <w:pPr>
        <w:ind w:left="0" w:firstLineChars="250" w:firstLine="550"/>
        <w:rPr>
          <w:rFonts w:eastAsiaTheme="minorEastAsia"/>
          <w:sz w:val="22"/>
          <w:szCs w:val="22"/>
          <w:lang w:eastAsia="ko-KR"/>
        </w:rPr>
      </w:pPr>
      <w:r w:rsidRPr="0049104C">
        <w:rPr>
          <w:rFonts w:eastAsiaTheme="minorEastAsia"/>
          <w:sz w:val="22"/>
          <w:szCs w:val="22"/>
          <w:lang w:eastAsia="ko-KR"/>
        </w:rPr>
        <w:t xml:space="preserve">In our view, modifying the TA report or (e)RedCap UE behavior to compute the TA value is not essential to support (e)Redcap UEs for NTN operation in FR1. In this point of view, this issue needs to be deprioritized over other objectives of Rel-19 NR NTN. </w:t>
      </w:r>
    </w:p>
    <w:p w14:paraId="730A904F" w14:textId="03C45399" w:rsidR="00F1394A" w:rsidRPr="00F1394A" w:rsidRDefault="00F1394A" w:rsidP="00E46AEF">
      <w:pPr>
        <w:pStyle w:val="LGTdoc"/>
        <w:spacing w:before="100" w:beforeAutospacing="1" w:after="180" w:afterAutospacing="1"/>
        <w:ind w:left="0" w:firstLine="0"/>
        <w:rPr>
          <w:b/>
          <w:i/>
          <w:iCs/>
          <w:szCs w:val="22"/>
          <w:lang w:eastAsia="ko-KR"/>
        </w:rPr>
      </w:pPr>
      <w:r>
        <w:rPr>
          <w:rFonts w:hint="eastAsia"/>
          <w:b/>
          <w:i/>
          <w:iCs/>
          <w:szCs w:val="22"/>
          <w:lang w:eastAsia="ko-KR"/>
        </w:rPr>
        <w:t>P</w:t>
      </w:r>
      <w:r>
        <w:rPr>
          <w:b/>
          <w:i/>
          <w:iCs/>
          <w:szCs w:val="22"/>
          <w:lang w:eastAsia="ko-KR"/>
        </w:rPr>
        <w:t xml:space="preserve">roposal 1: RAN1 </w:t>
      </w:r>
      <w:r w:rsidR="00E46AEF">
        <w:rPr>
          <w:b/>
          <w:i/>
          <w:iCs/>
          <w:szCs w:val="22"/>
          <w:lang w:eastAsia="ko-KR"/>
        </w:rPr>
        <w:t xml:space="preserve">conclude that no </w:t>
      </w:r>
      <w:r w:rsidR="00E46AEF" w:rsidRPr="00E46AEF">
        <w:rPr>
          <w:b/>
          <w:i/>
          <w:iCs/>
          <w:szCs w:val="22"/>
          <w:lang w:eastAsia="ko-KR"/>
        </w:rPr>
        <w:t xml:space="preserve">essential change </w:t>
      </w:r>
      <w:r w:rsidR="00E46AEF">
        <w:rPr>
          <w:b/>
          <w:i/>
          <w:iCs/>
          <w:szCs w:val="22"/>
          <w:lang w:eastAsia="ko-KR"/>
        </w:rPr>
        <w:t xml:space="preserve">of RAN1 specification </w:t>
      </w:r>
      <w:r w:rsidR="007468D3">
        <w:rPr>
          <w:b/>
          <w:i/>
          <w:iCs/>
          <w:szCs w:val="22"/>
          <w:lang w:eastAsia="ko-KR"/>
        </w:rPr>
        <w:t>is</w:t>
      </w:r>
      <w:r w:rsidR="00E46AEF" w:rsidRPr="00E46AEF">
        <w:rPr>
          <w:b/>
          <w:i/>
          <w:iCs/>
          <w:szCs w:val="22"/>
          <w:lang w:eastAsia="ko-KR"/>
        </w:rPr>
        <w:t xml:space="preserve"> needed</w:t>
      </w:r>
      <w:r w:rsidR="00E46AEF">
        <w:rPr>
          <w:b/>
          <w:i/>
          <w:iCs/>
          <w:szCs w:val="22"/>
          <w:lang w:eastAsia="ko-KR"/>
        </w:rPr>
        <w:t xml:space="preserve"> to support </w:t>
      </w:r>
      <w:r w:rsidR="00E46AEF" w:rsidRPr="00E46AEF">
        <w:rPr>
          <w:b/>
          <w:i/>
          <w:iCs/>
          <w:szCs w:val="22"/>
          <w:lang w:eastAsia="ko-KR"/>
        </w:rPr>
        <w:t>Rel-17 RedCap and Rel-18 eRedCap UEs with NR NTN operating in FR1-NTN bands</w:t>
      </w:r>
      <w:r w:rsidR="00E46AEF">
        <w:rPr>
          <w:b/>
          <w:i/>
          <w:iCs/>
          <w:szCs w:val="22"/>
          <w:lang w:eastAsia="ko-KR"/>
        </w:rPr>
        <w:t>.</w:t>
      </w:r>
    </w:p>
    <w:p w14:paraId="529BF4D8" w14:textId="77777777" w:rsidR="00F1394A" w:rsidRPr="00F1394A" w:rsidRDefault="00F1394A"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17F5597D"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DE503B">
        <w:rPr>
          <w:rFonts w:eastAsiaTheme="minorEastAsia"/>
          <w:sz w:val="22"/>
          <w:lang w:eastAsia="ko-KR"/>
        </w:rPr>
        <w:t>whether or how to change half-duplex collision rules to support Rel-17 RedCap and Rel-18 eRedCap UEs with NR NTN in FR1</w:t>
      </w:r>
      <w:r w:rsidRPr="00AD126C">
        <w:rPr>
          <w:rFonts w:eastAsiaTheme="minorEastAsia"/>
          <w:sz w:val="22"/>
          <w:lang w:eastAsia="ko-KR"/>
        </w:rPr>
        <w:t>. Based on the above discussion, our observations and proposals are given as follows:</w:t>
      </w:r>
    </w:p>
    <w:p w14:paraId="11D6F6C2" w14:textId="77777777" w:rsidR="00E46AEF" w:rsidRPr="00F1394A" w:rsidRDefault="00E46AEF" w:rsidP="00E46AEF">
      <w:pPr>
        <w:ind w:left="0" w:firstLine="0"/>
        <w:rPr>
          <w:rFonts w:eastAsiaTheme="minorEastAsia"/>
          <w:b/>
          <w:bCs/>
          <w:i/>
          <w:iCs/>
          <w:sz w:val="22"/>
          <w:szCs w:val="22"/>
          <w:lang w:eastAsia="ko-KR"/>
        </w:rPr>
      </w:pPr>
      <w:r w:rsidRPr="00F1394A">
        <w:rPr>
          <w:rFonts w:eastAsiaTheme="minorEastAsia" w:hint="eastAsia"/>
          <w:b/>
          <w:bCs/>
          <w:i/>
          <w:iCs/>
          <w:sz w:val="22"/>
          <w:szCs w:val="22"/>
          <w:lang w:eastAsia="ko-KR"/>
        </w:rPr>
        <w:t>O</w:t>
      </w:r>
      <w:r w:rsidRPr="00F1394A">
        <w:rPr>
          <w:rFonts w:eastAsiaTheme="minorEastAsia"/>
          <w:b/>
          <w:bCs/>
          <w:i/>
          <w:iCs/>
          <w:sz w:val="22"/>
          <w:szCs w:val="22"/>
          <w:lang w:eastAsia="ko-KR"/>
        </w:rPr>
        <w:t xml:space="preserve">bservation 1: </w:t>
      </w:r>
      <w:r>
        <w:rPr>
          <w:rFonts w:eastAsiaTheme="minorEastAsia"/>
          <w:b/>
          <w:bCs/>
          <w:i/>
          <w:iCs/>
          <w:sz w:val="22"/>
          <w:szCs w:val="22"/>
          <w:lang w:eastAsia="ko-KR"/>
        </w:rPr>
        <w:t xml:space="preserve">The existing HD resource collision rule can work properly even for the NTN operation since the UE can decide whether TTI for DL reception and TTI for UL transmission are overlapping in time or not. </w:t>
      </w:r>
    </w:p>
    <w:p w14:paraId="7EC52B84" w14:textId="77777777" w:rsidR="00E46AEF" w:rsidRDefault="00E46AEF" w:rsidP="00E46AEF">
      <w:pPr>
        <w:ind w:left="0" w:firstLine="0"/>
        <w:rPr>
          <w:rFonts w:eastAsiaTheme="minorEastAsia"/>
          <w:b/>
          <w:bCs/>
          <w:i/>
          <w:iCs/>
          <w:sz w:val="22"/>
          <w:szCs w:val="22"/>
          <w:lang w:eastAsia="ko-KR"/>
        </w:rPr>
      </w:pPr>
      <w:r w:rsidRPr="00F1394A">
        <w:rPr>
          <w:rFonts w:eastAsiaTheme="minorEastAsia" w:hint="eastAsia"/>
          <w:b/>
          <w:bCs/>
          <w:i/>
          <w:iCs/>
          <w:sz w:val="22"/>
          <w:szCs w:val="22"/>
          <w:lang w:eastAsia="ko-KR"/>
        </w:rPr>
        <w:t>O</w:t>
      </w:r>
      <w:r w:rsidRPr="00F1394A">
        <w:rPr>
          <w:rFonts w:eastAsiaTheme="minorEastAsia"/>
          <w:b/>
          <w:bCs/>
          <w:i/>
          <w:iCs/>
          <w:sz w:val="22"/>
          <w:szCs w:val="22"/>
          <w:lang w:eastAsia="ko-KR"/>
        </w:rPr>
        <w:t xml:space="preserve">bservation </w:t>
      </w:r>
      <w:r>
        <w:rPr>
          <w:rFonts w:eastAsiaTheme="minorEastAsia"/>
          <w:b/>
          <w:bCs/>
          <w:i/>
          <w:iCs/>
          <w:sz w:val="22"/>
          <w:szCs w:val="22"/>
          <w:lang w:eastAsia="ko-KR"/>
        </w:rPr>
        <w:t>2</w:t>
      </w:r>
      <w:r w:rsidRPr="00F1394A">
        <w:rPr>
          <w:rFonts w:eastAsiaTheme="minorEastAsia"/>
          <w:b/>
          <w:bCs/>
          <w:i/>
          <w:iCs/>
          <w:sz w:val="22"/>
          <w:szCs w:val="22"/>
          <w:lang w:eastAsia="ko-KR"/>
        </w:rPr>
        <w:t xml:space="preserve">: </w:t>
      </w:r>
      <w:r>
        <w:rPr>
          <w:rFonts w:eastAsiaTheme="minorEastAsia"/>
          <w:b/>
          <w:bCs/>
          <w:i/>
          <w:iCs/>
          <w:sz w:val="22"/>
          <w:szCs w:val="22"/>
          <w:lang w:eastAsia="ko-KR"/>
        </w:rPr>
        <w:t xml:space="preserve">Without any optimization, the gNB can avoid the time-overlapping between DL reception and UL transmission at UE side considering at most 1msec error between the applied TA and the reported TA due to the lack of the granularity of the TA report. </w:t>
      </w:r>
    </w:p>
    <w:p w14:paraId="335813CB" w14:textId="77777777" w:rsidR="00E46AEF" w:rsidRPr="00F1394A" w:rsidRDefault="00E46AEF" w:rsidP="00E46AEF">
      <w:pPr>
        <w:ind w:left="0" w:firstLine="0"/>
        <w:rPr>
          <w:rFonts w:eastAsiaTheme="minorEastAsia"/>
          <w:b/>
          <w:bCs/>
          <w:i/>
          <w:iCs/>
          <w:sz w:val="22"/>
          <w:szCs w:val="22"/>
          <w:lang w:eastAsia="ko-KR"/>
        </w:rPr>
      </w:pPr>
    </w:p>
    <w:p w14:paraId="6D236C40" w14:textId="50999FE9" w:rsidR="00E46AEF" w:rsidRPr="00F1394A" w:rsidRDefault="00E46AEF" w:rsidP="00E46AEF">
      <w:pPr>
        <w:pStyle w:val="LGTdoc"/>
        <w:spacing w:before="100" w:beforeAutospacing="1" w:after="180" w:afterAutospacing="1"/>
        <w:ind w:left="0" w:firstLine="0"/>
        <w:rPr>
          <w:b/>
          <w:i/>
          <w:iCs/>
          <w:szCs w:val="22"/>
          <w:lang w:eastAsia="ko-KR"/>
        </w:rPr>
      </w:pPr>
      <w:r>
        <w:rPr>
          <w:rFonts w:hint="eastAsia"/>
          <w:b/>
          <w:i/>
          <w:iCs/>
          <w:szCs w:val="22"/>
          <w:lang w:eastAsia="ko-KR"/>
        </w:rPr>
        <w:t>P</w:t>
      </w:r>
      <w:r>
        <w:rPr>
          <w:b/>
          <w:i/>
          <w:iCs/>
          <w:szCs w:val="22"/>
          <w:lang w:eastAsia="ko-KR"/>
        </w:rPr>
        <w:t xml:space="preserve">roposal 1: RAN1 conclude that no </w:t>
      </w:r>
      <w:r w:rsidRPr="00E46AEF">
        <w:rPr>
          <w:b/>
          <w:i/>
          <w:iCs/>
          <w:szCs w:val="22"/>
          <w:lang w:eastAsia="ko-KR"/>
        </w:rPr>
        <w:t xml:space="preserve">essential change </w:t>
      </w:r>
      <w:r>
        <w:rPr>
          <w:b/>
          <w:i/>
          <w:iCs/>
          <w:szCs w:val="22"/>
          <w:lang w:eastAsia="ko-KR"/>
        </w:rPr>
        <w:t xml:space="preserve">of RAN1 specification </w:t>
      </w:r>
      <w:r w:rsidR="007468D3">
        <w:rPr>
          <w:b/>
          <w:i/>
          <w:iCs/>
          <w:szCs w:val="22"/>
          <w:lang w:eastAsia="ko-KR"/>
        </w:rPr>
        <w:t>is</w:t>
      </w:r>
      <w:r w:rsidRPr="00E46AEF">
        <w:rPr>
          <w:b/>
          <w:i/>
          <w:iCs/>
          <w:szCs w:val="22"/>
          <w:lang w:eastAsia="ko-KR"/>
        </w:rPr>
        <w:t xml:space="preserve"> needed</w:t>
      </w:r>
      <w:r>
        <w:rPr>
          <w:b/>
          <w:i/>
          <w:iCs/>
          <w:szCs w:val="22"/>
          <w:lang w:eastAsia="ko-KR"/>
        </w:rPr>
        <w:t xml:space="preserve"> to support </w:t>
      </w:r>
      <w:r w:rsidRPr="00E46AEF">
        <w:rPr>
          <w:b/>
          <w:i/>
          <w:iCs/>
          <w:szCs w:val="22"/>
          <w:lang w:eastAsia="ko-KR"/>
        </w:rPr>
        <w:t>Rel-17 RedCap and Rel-18 eRedCap UEs with NR NTN operating in FR1-NTN bands</w:t>
      </w:r>
      <w:r>
        <w:rPr>
          <w:b/>
          <w:i/>
          <w:iCs/>
          <w:szCs w:val="22"/>
          <w:lang w:eastAsia="ko-KR"/>
        </w:rPr>
        <w:t>.</w:t>
      </w:r>
    </w:p>
    <w:p w14:paraId="442F0DD5" w14:textId="77777777" w:rsidR="008B45EE" w:rsidRPr="00E46AEF"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520BD50C"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16063">
        <w:rPr>
          <w:szCs w:val="22"/>
          <w:lang w:eastAsia="ko-KR"/>
        </w:rPr>
        <w:t>RP-234078, “</w:t>
      </w:r>
      <w:r w:rsidR="00A16063" w:rsidRPr="00A16063">
        <w:rPr>
          <w:szCs w:val="22"/>
          <w:lang w:eastAsia="ko-KR"/>
        </w:rPr>
        <w:t>New WID: Non-Terrestrial Networks (NTN) for NR Phase 3</w:t>
      </w:r>
      <w:r w:rsidR="00A16063">
        <w:rPr>
          <w:szCs w:val="22"/>
          <w:lang w:eastAsia="ko-KR"/>
        </w:rPr>
        <w:t>,” Huawei (Moderator, RAN1 Vice-Chair), 3GPP TSG RAN Meeting #102, Edinburgh, Scotland, December 11-15, 2023.</w:t>
      </w:r>
    </w:p>
    <w:p w14:paraId="772A3B5E" w14:textId="10CDB83A" w:rsidR="00A16063" w:rsidRDefault="00A16063" w:rsidP="0006024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TS 38.213: “NR; Physical layer procedure for control”.</w:t>
      </w:r>
    </w:p>
    <w:p w14:paraId="5AA52F82" w14:textId="7C1AF112" w:rsidR="0085575C" w:rsidRDefault="0085575C" w:rsidP="0006024C">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 xml:space="preserve">3] 3GPP TS 38.321: “NR; Medium Access Control (MAC) protocol specification”. </w:t>
      </w:r>
    </w:p>
    <w:sectPr w:rsidR="0085575C" w:rsidSect="001B16DD">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D9125" w14:textId="77777777" w:rsidR="00186509" w:rsidRDefault="00186509" w:rsidP="00F91B52">
      <w:pPr>
        <w:spacing w:before="0" w:after="0" w:line="240" w:lineRule="auto"/>
      </w:pPr>
      <w:r>
        <w:separator/>
      </w:r>
    </w:p>
  </w:endnote>
  <w:endnote w:type="continuationSeparator" w:id="0">
    <w:p w14:paraId="57B695BC" w14:textId="77777777" w:rsidR="00186509" w:rsidRDefault="0018650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30FC4" w14:textId="77777777" w:rsidR="00186509" w:rsidRDefault="00186509" w:rsidP="00F91B52">
      <w:pPr>
        <w:spacing w:before="0" w:after="0" w:line="240" w:lineRule="auto"/>
      </w:pPr>
      <w:r>
        <w:separator/>
      </w:r>
    </w:p>
  </w:footnote>
  <w:footnote w:type="continuationSeparator" w:id="0">
    <w:p w14:paraId="7DCC5E74" w14:textId="77777777" w:rsidR="00186509" w:rsidRDefault="00186509"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3"/>
  </w:num>
  <w:num w:numId="4">
    <w:abstractNumId w:val="6"/>
  </w:num>
  <w:num w:numId="5">
    <w:abstractNumId w:val="21"/>
  </w:num>
  <w:num w:numId="6">
    <w:abstractNumId w:val="11"/>
  </w:num>
  <w:num w:numId="7">
    <w:abstractNumId w:val="5"/>
  </w:num>
  <w:num w:numId="8">
    <w:abstractNumId w:val="10"/>
  </w:num>
  <w:num w:numId="9">
    <w:abstractNumId w:val="16"/>
  </w:num>
  <w:num w:numId="10">
    <w:abstractNumId w:val="19"/>
  </w:num>
  <w:num w:numId="11">
    <w:abstractNumId w:val="12"/>
  </w:num>
  <w:num w:numId="12">
    <w:abstractNumId w:val="15"/>
  </w:num>
  <w:num w:numId="13">
    <w:abstractNumId w:val="4"/>
  </w:num>
  <w:num w:numId="14">
    <w:abstractNumId w:val="14"/>
  </w:num>
  <w:num w:numId="15">
    <w:abstractNumId w:val="9"/>
  </w:num>
  <w:num w:numId="16">
    <w:abstractNumId w:val="0"/>
  </w:num>
  <w:num w:numId="17">
    <w:abstractNumId w:val="7"/>
  </w:num>
  <w:num w:numId="18">
    <w:abstractNumId w:val="13"/>
  </w:num>
  <w:num w:numId="19">
    <w:abstractNumId w:val="17"/>
  </w:num>
  <w:num w:numId="20">
    <w:abstractNumId w:val="1"/>
  </w:num>
  <w:num w:numId="21">
    <w:abstractNumId w:val="2"/>
  </w:num>
  <w:num w:numId="22">
    <w:abstractNumId w:val="22"/>
  </w:num>
  <w:num w:numId="2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32"/>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0D52"/>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503"/>
    <w:rsid w:val="000F09C5"/>
    <w:rsid w:val="000F0FAE"/>
    <w:rsid w:val="000F1847"/>
    <w:rsid w:val="000F1C08"/>
    <w:rsid w:val="000F353F"/>
    <w:rsid w:val="000F373D"/>
    <w:rsid w:val="000F4EB0"/>
    <w:rsid w:val="000F5A52"/>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77E53"/>
    <w:rsid w:val="00180102"/>
    <w:rsid w:val="00180B8E"/>
    <w:rsid w:val="00181E3B"/>
    <w:rsid w:val="00182C8E"/>
    <w:rsid w:val="0018324D"/>
    <w:rsid w:val="00183E05"/>
    <w:rsid w:val="00185100"/>
    <w:rsid w:val="001859A9"/>
    <w:rsid w:val="00185DAB"/>
    <w:rsid w:val="00186509"/>
    <w:rsid w:val="00186D99"/>
    <w:rsid w:val="00187062"/>
    <w:rsid w:val="001878F6"/>
    <w:rsid w:val="00191B8F"/>
    <w:rsid w:val="00193A24"/>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A3"/>
    <w:rsid w:val="001B16DD"/>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17E2B"/>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728"/>
    <w:rsid w:val="002A3199"/>
    <w:rsid w:val="002A36A8"/>
    <w:rsid w:val="002A492E"/>
    <w:rsid w:val="002B00D6"/>
    <w:rsid w:val="002B095D"/>
    <w:rsid w:val="002B14A5"/>
    <w:rsid w:val="002B1B56"/>
    <w:rsid w:val="002B44EC"/>
    <w:rsid w:val="002B5A5E"/>
    <w:rsid w:val="002B6177"/>
    <w:rsid w:val="002B7840"/>
    <w:rsid w:val="002C05C3"/>
    <w:rsid w:val="002C0AE6"/>
    <w:rsid w:val="002C2212"/>
    <w:rsid w:val="002C29AC"/>
    <w:rsid w:val="002C2B39"/>
    <w:rsid w:val="002C56D7"/>
    <w:rsid w:val="002C5E43"/>
    <w:rsid w:val="002C6253"/>
    <w:rsid w:val="002C70D2"/>
    <w:rsid w:val="002C7846"/>
    <w:rsid w:val="002D10A2"/>
    <w:rsid w:val="002D3963"/>
    <w:rsid w:val="002D4244"/>
    <w:rsid w:val="002D4CDC"/>
    <w:rsid w:val="002D53AB"/>
    <w:rsid w:val="002D6524"/>
    <w:rsid w:val="002D66AB"/>
    <w:rsid w:val="002D742F"/>
    <w:rsid w:val="002D7DD0"/>
    <w:rsid w:val="002E0D9C"/>
    <w:rsid w:val="002E25A1"/>
    <w:rsid w:val="002E2CB5"/>
    <w:rsid w:val="002E2F05"/>
    <w:rsid w:val="002E3E3C"/>
    <w:rsid w:val="002E4B67"/>
    <w:rsid w:val="002E60D8"/>
    <w:rsid w:val="002E6926"/>
    <w:rsid w:val="002E6B33"/>
    <w:rsid w:val="002E6D78"/>
    <w:rsid w:val="002E7174"/>
    <w:rsid w:val="002E738E"/>
    <w:rsid w:val="002E79EA"/>
    <w:rsid w:val="002F04B0"/>
    <w:rsid w:val="002F1BF7"/>
    <w:rsid w:val="002F2C1B"/>
    <w:rsid w:val="002F3E55"/>
    <w:rsid w:val="002F5E72"/>
    <w:rsid w:val="003003DC"/>
    <w:rsid w:val="00301591"/>
    <w:rsid w:val="00301854"/>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C8"/>
    <w:rsid w:val="003F2DCB"/>
    <w:rsid w:val="003F65FD"/>
    <w:rsid w:val="003F67C5"/>
    <w:rsid w:val="003F75D8"/>
    <w:rsid w:val="003F7D95"/>
    <w:rsid w:val="00400A1B"/>
    <w:rsid w:val="00402A7A"/>
    <w:rsid w:val="00402CEA"/>
    <w:rsid w:val="00403D61"/>
    <w:rsid w:val="00404B5C"/>
    <w:rsid w:val="00405133"/>
    <w:rsid w:val="0040515B"/>
    <w:rsid w:val="00405674"/>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04C"/>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0AF4"/>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4EC0"/>
    <w:rsid w:val="006D5D68"/>
    <w:rsid w:val="006D6FAF"/>
    <w:rsid w:val="006D7123"/>
    <w:rsid w:val="006D77F6"/>
    <w:rsid w:val="006D7CF6"/>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8D3"/>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163"/>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575C"/>
    <w:rsid w:val="00857530"/>
    <w:rsid w:val="00860310"/>
    <w:rsid w:val="008605A0"/>
    <w:rsid w:val="0086195E"/>
    <w:rsid w:val="00862290"/>
    <w:rsid w:val="008626CF"/>
    <w:rsid w:val="008644DD"/>
    <w:rsid w:val="008646E0"/>
    <w:rsid w:val="00864FD4"/>
    <w:rsid w:val="008654C7"/>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BB"/>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10C3"/>
    <w:rsid w:val="00901CCB"/>
    <w:rsid w:val="009031B7"/>
    <w:rsid w:val="00904CB0"/>
    <w:rsid w:val="0090531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74CE"/>
    <w:rsid w:val="009201D0"/>
    <w:rsid w:val="00921529"/>
    <w:rsid w:val="0092195B"/>
    <w:rsid w:val="00921B8C"/>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694"/>
    <w:rsid w:val="009817C7"/>
    <w:rsid w:val="00982F28"/>
    <w:rsid w:val="00984400"/>
    <w:rsid w:val="009873CE"/>
    <w:rsid w:val="00987B6F"/>
    <w:rsid w:val="009908B8"/>
    <w:rsid w:val="00990CCF"/>
    <w:rsid w:val="00991808"/>
    <w:rsid w:val="00991CCE"/>
    <w:rsid w:val="00992608"/>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F86"/>
    <w:rsid w:val="00A001D0"/>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063"/>
    <w:rsid w:val="00A161AA"/>
    <w:rsid w:val="00A164B3"/>
    <w:rsid w:val="00A17104"/>
    <w:rsid w:val="00A20FA7"/>
    <w:rsid w:val="00A2285D"/>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6DC8"/>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432"/>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3E7D"/>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423"/>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3BB6"/>
    <w:rsid w:val="00D34722"/>
    <w:rsid w:val="00D35F1F"/>
    <w:rsid w:val="00D371C8"/>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437"/>
    <w:rsid w:val="00D535A1"/>
    <w:rsid w:val="00D55343"/>
    <w:rsid w:val="00D56285"/>
    <w:rsid w:val="00D57C81"/>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03B"/>
    <w:rsid w:val="00DE5649"/>
    <w:rsid w:val="00DE59D4"/>
    <w:rsid w:val="00DE60E4"/>
    <w:rsid w:val="00DE7BA1"/>
    <w:rsid w:val="00DF1462"/>
    <w:rsid w:val="00DF1733"/>
    <w:rsid w:val="00DF1C53"/>
    <w:rsid w:val="00DF2782"/>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AEF"/>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39F7"/>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6B7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394A"/>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6A52E-2079-4CA6-A001-0C968CF3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30942</TotalTime>
  <Pages>3</Pages>
  <Words>799</Words>
  <Characters>4556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264</cp:revision>
  <dcterms:created xsi:type="dcterms:W3CDTF">2022-11-04T00:26:00Z</dcterms:created>
  <dcterms:modified xsi:type="dcterms:W3CDTF">2024-02-19T05:11:00Z</dcterms:modified>
</cp:coreProperties>
</file>